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napToGrid w:val="0"/>
        <w:jc w:val="center"/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天津交通职业学院辅导员基础绩效（月）考核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评价指标</w:t>
      </w:r>
    </w:p>
    <w:p>
      <w:pPr>
        <w:snapToGrid w:val="0"/>
        <w:jc w:val="center"/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20" w:lineRule="exact"/>
        <w:ind w:firstLine="840" w:firstLineChars="400"/>
        <w:rPr>
          <w:rFonts w:ascii="仿宋_GB2312" w:hAnsi="宋体" w:eastAsia="仿宋_GB2312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/>
          <w:sz w:val="21"/>
          <w:szCs w:val="21"/>
          <w:lang w:eastAsia="zh-CN"/>
        </w:rPr>
        <w:t>分院（部门）</w:t>
      </w:r>
      <w:r>
        <w:rPr>
          <w:rFonts w:hint="eastAsia" w:hAnsi="宋体"/>
          <w:b/>
          <w:color w:val="000000"/>
          <w:sz w:val="21"/>
          <w:szCs w:val="21"/>
        </w:rPr>
        <w:t xml:space="preserve">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hAnsi="宋体"/>
          <w:b/>
          <w:color w:val="000000"/>
          <w:sz w:val="21"/>
          <w:szCs w:val="21"/>
        </w:rPr>
        <w:t xml:space="preserve">                                              </w:t>
      </w:r>
      <w:r>
        <w:rPr>
          <w:rFonts w:hint="eastAsia" w:hAnsi="宋体"/>
          <w:b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hAnsi="宋体"/>
          <w:b/>
          <w:color w:val="000000"/>
          <w:sz w:val="21"/>
          <w:szCs w:val="21"/>
        </w:rPr>
        <w:t xml:space="preserve">           辅导员姓名：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</w:t>
      </w:r>
    </w:p>
    <w:p>
      <w:pPr>
        <w:snapToGrid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37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93"/>
        <w:gridCol w:w="1376"/>
        <w:gridCol w:w="4333"/>
        <w:gridCol w:w="4952"/>
        <w:gridCol w:w="763"/>
        <w:gridCol w:w="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A、教育管理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班级日常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做好班级的日常管理，依据《天津交通职业学院班级日常管理考核办法》执行。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A1=</w:t>
            </w:r>
            <m:oMath>
              <m:f>
                <m:fPr>
                  <m:ctrlPr>
                    <w:rPr>
                      <w:rFonts w:hint="eastAsia" w:ascii="Cambria Math" w:hAnsi="Cambria Math" w:eastAsia="仿宋_GB2312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hint="eastAsia" w:ascii="Cambria Math" w:hAnsi="Cambria Math" w:eastAsia="仿宋_GB2312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naryPr>
                    <m:sub>
                      <m:ctrlPr>
                        <w:rPr>
                          <w:rFonts w:hint="eastAsia" w:ascii="Cambria Math" w:hAnsi="Cambria Math" w:eastAsia="仿宋_GB2312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  <m:sup>
                      <m:ctrlPr>
                        <w:rPr>
                          <w:rFonts w:hint="eastAsia" w:ascii="Cambria Math" w:hAnsi="Cambria Math" w:eastAsia="仿宋_GB2312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p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_GB2312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每个班级考核分数</m:t>
                      </m:r>
                      <m:ctrlPr>
                        <w:rPr>
                          <w:rFonts w:hint="eastAsia" w:ascii="Cambria Math" w:hAnsi="Cambria Math" w:eastAsia="仿宋_GB2312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nary>
                  <m:ctrlPr>
                    <w:rPr>
                      <w:rFonts w:hint="eastAsia" w:ascii="Cambria Math" w:hAnsi="Cambria Math" w:eastAsia="仿宋_GB2312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所带班级数</m:t>
                  </m:r>
                  <m:ctrlPr>
                    <w:rPr>
                      <w:rFonts w:hint="eastAsia" w:ascii="Cambria Math" w:hAnsi="Cambria Math" w:eastAsia="仿宋_GB2312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仿宋_GB2312" w:cs="宋体"/>
                  <w:color w:val="000000" w:themeColor="text1"/>
                  <w:szCs w:val="21"/>
                  <w14:textFill>
                    <w14:solidFill>
                      <w14:schemeClr w14:val="tx1"/>
                    </w14:solidFill>
                  </w14:textFill>
                </w:rPr>
                <m:t>∗3</m:t>
              </m:r>
            </m:oMath>
            <w:r>
              <w:rPr>
                <w:rFonts w:hint="eastAsia" w:ascii="仿宋_GB2312" w:hAnsi="仿宋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学生队伍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每月至少召开1次班干部会议，指导学生“三生”管理。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查阅会议记录、照片等资料。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学生行为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关注度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及时关注学生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规范，对违纪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的学生进行处理。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谈话记录、处分材料等。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班会团课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每月至少举办2次主题班会或团课对学生进行主题教育，班会、团课的主题内容有针对性，上课时间要达到1学时，要有方案、课件和记录。其中，班会或团课开始前5分钟，必须安排有文明创建的相关内容。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查阅会议记录、照片等资料。开展了班会团课得2分。每次班会效果良好资料齐全得3分，效果较好得2分，一般得1分，效果差或缺少资料较多不得分。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A5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谈心谈话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每月谈心谈话人数（次）不低于所带学生的10%，特别是学困、情困、贫困和其他特殊群体学生。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查阅工作笔记。谈心谈话次数达到或超过10%的得满分，介于5%至10%之间的得一半分，少于5%的不得分。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A6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早自习到班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每周早自习期间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或课前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至少到班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以上。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查阅考勤情况。每少1次扣1分，扣完为止。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A7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收假到班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每月在节假日和周末清查学生返校情况。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查阅考勤情况。每少1次扣1分，因公、病假不扣分，事假扣0.5分，扣完为止。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B、安全教育管理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隐患排查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每月积极做好班级安全隐患的排查。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每月对班级内的教室、寝室等场所和学生之间的关系矛盾等安全隐患进行排查，并做好台账登记。排查效果较好得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分，排查效果一般得2分，未排查不得分。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安全教育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多种形式对学生进行安全教育，保障学生身心健康；采取切实措施加强毕业生安全教育工作，保证毕业生顶岗实习期间的安全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查看工作记录和工作实际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C、心理健康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心理危机预警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落实心理危机防控四级预警机制，每月积极做好寝室、班级学生心理危机排查与跟踪，发现学生心理异常要及时向二级学院领导汇报，并报告心理健康教育中心。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每月指导寝室长、班级干部做好学生的心理危机排查工作，密切留意心理危机学生的动向。月反馈表及时完成填写并上交的得满分，未填写、未上交或敷衍了事的不得分。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心理危机干预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对班级心理危机学生及时进行干预、跟踪，指导和督促学生做好心理排解或治疗。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班级无心理危机学生此项不考核，按满分计算；班级有心理危机学生的，进行及时干预、跟踪的得满分，未干预、跟踪的不得分。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D、宿舍管理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晚就寝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及时掌握学生晚就寝的情况，对晚归和夜不归宿的学生及时跟进处理。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查阅工作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。关注并及时处理得5分，发现一次未关注或未及时处理扣1分，扣完为止。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宿舍工作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每周至少进学生宿舍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次，每次覆盖面不能低于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督促内务整理及文明创建工作达标。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查阅考勤情况。少1次或进寝室覆盖面低于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60%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扣1分，扣完为止。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E、其他工作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工作例会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每月按时参加二级学院组织的工作例会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缺1次扣1.5分，迟到1次扣1分，因公、病假不扣分，事假扣0.5分，扣完为止。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其他工作</w:t>
            </w:r>
          </w:p>
        </w:tc>
        <w:tc>
          <w:tcPr>
            <w:tcW w:w="4333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当月上级交办的其他重要工作。</w:t>
            </w:r>
          </w:p>
        </w:tc>
        <w:tc>
          <w:tcPr>
            <w:tcW w:w="495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重要工作需纳入此项目考核的，需提前告知辅导员，并公开考核内容、方式、分值。此项由二级学院依据实际工作情况自行把握，依据工作完成情况、工作时效性、工作态度赋分。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5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 w:cs="宋体"/>
          <w:bCs/>
          <w:sz w:val="28"/>
        </w:rPr>
      </w:pPr>
    </w:p>
    <w:p>
      <w:pPr>
        <w:spacing w:line="300" w:lineRule="exact"/>
        <w:rPr>
          <w:rFonts w:hint="eastAsia" w:ascii="仿宋_GB2312" w:hAnsi="宋体" w:eastAsia="仿宋_GB2312" w:cs="宋体"/>
          <w:b/>
          <w:sz w:val="28"/>
        </w:rPr>
      </w:pPr>
    </w:p>
    <w:p>
      <w:pPr>
        <w:spacing w:line="300" w:lineRule="exact"/>
        <w:rPr>
          <w:rFonts w:hint="eastAsia" w:ascii="仿宋_GB2312" w:hAnsi="宋体" w:eastAsia="仿宋_GB2312" w:cs="宋体"/>
          <w:b/>
          <w:sz w:val="28"/>
        </w:rPr>
      </w:pPr>
    </w:p>
    <w:p>
      <w:pPr>
        <w:spacing w:line="300" w:lineRule="exact"/>
        <w:rPr>
          <w:rFonts w:hint="eastAsia" w:ascii="仿宋_GB2312" w:hAnsi="宋体" w:eastAsia="仿宋_GB2312" w:cs="宋体"/>
          <w:b/>
          <w:sz w:val="28"/>
        </w:rPr>
      </w:pPr>
    </w:p>
    <w:p>
      <w:pPr>
        <w:spacing w:line="300" w:lineRule="exact"/>
        <w:rPr>
          <w:rFonts w:hint="eastAsia" w:ascii="仿宋_GB2312" w:hAnsi="宋体" w:eastAsia="仿宋_GB2312" w:cs="宋体"/>
          <w:b/>
          <w:sz w:val="28"/>
        </w:rPr>
      </w:pPr>
    </w:p>
    <w:p>
      <w:pPr>
        <w:spacing w:line="300" w:lineRule="exact"/>
        <w:rPr>
          <w:rFonts w:hint="eastAsia" w:ascii="仿宋_GB2312" w:hAnsi="宋体" w:eastAsia="仿宋_GB2312" w:cs="宋体"/>
          <w:b/>
          <w:sz w:val="28"/>
        </w:rPr>
      </w:pPr>
    </w:p>
    <w:p>
      <w:pPr>
        <w:spacing w:line="300" w:lineRule="exact"/>
        <w:rPr>
          <w:rFonts w:hint="eastAsia" w:ascii="仿宋_GB2312" w:hAnsi="宋体" w:eastAsia="仿宋_GB2312" w:cs="宋体"/>
          <w:b/>
          <w:sz w:val="28"/>
        </w:rPr>
      </w:pPr>
    </w:p>
    <w:p>
      <w:pPr>
        <w:spacing w:line="300" w:lineRule="exact"/>
        <w:rPr>
          <w:rFonts w:hint="eastAsia" w:ascii="仿宋_GB2312" w:hAnsi="宋体" w:eastAsia="仿宋_GB2312" w:cs="宋体"/>
          <w:b/>
          <w:sz w:val="28"/>
        </w:rPr>
      </w:pPr>
    </w:p>
    <w:p>
      <w:pPr>
        <w:spacing w:line="300" w:lineRule="exact"/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sz w:val="28"/>
        </w:rPr>
        <w:t>附件：2</w:t>
      </w:r>
    </w:p>
    <w:p>
      <w:pPr>
        <w:autoSpaceDE w:val="0"/>
        <w:autoSpaceDN w:val="0"/>
        <w:spacing w:line="540" w:lineRule="exact"/>
        <w:ind w:firstLine="3200" w:firstLineChars="1000"/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天津交通职业学院辅导员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奖励绩效分院（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部门）领导评分表</w:t>
      </w:r>
    </w:p>
    <w:p>
      <w:pPr>
        <w:pStyle w:val="2"/>
        <w:spacing w:line="320" w:lineRule="exact"/>
        <w:ind w:firstLine="420" w:firstLineChars="200"/>
        <w:rPr>
          <w:rFonts w:hAnsi="宋体"/>
          <w:b/>
          <w:color w:val="000000"/>
          <w:sz w:val="21"/>
          <w:szCs w:val="21"/>
        </w:rPr>
      </w:pPr>
      <w:r>
        <w:rPr>
          <w:rFonts w:hint="eastAsia" w:hAnsi="宋体"/>
          <w:b/>
          <w:color w:val="000000"/>
          <w:sz w:val="21"/>
          <w:szCs w:val="21"/>
          <w:lang w:eastAsia="zh-CN"/>
        </w:rPr>
        <w:t>分</w:t>
      </w:r>
      <w:r>
        <w:rPr>
          <w:rFonts w:hint="eastAsia" w:hAnsi="宋体"/>
          <w:b/>
          <w:color w:val="000000"/>
          <w:sz w:val="21"/>
          <w:szCs w:val="21"/>
        </w:rPr>
        <w:t>院（部</w:t>
      </w:r>
      <w:r>
        <w:rPr>
          <w:rFonts w:hint="eastAsia" w:hAnsi="宋体"/>
          <w:b/>
          <w:color w:val="000000"/>
          <w:sz w:val="21"/>
          <w:szCs w:val="21"/>
          <w:lang w:eastAsia="zh-CN"/>
        </w:rPr>
        <w:t>门</w:t>
      </w:r>
      <w:r>
        <w:rPr>
          <w:rFonts w:hint="eastAsia" w:hAnsi="宋体"/>
          <w:b/>
          <w:color w:val="000000"/>
          <w:sz w:val="21"/>
          <w:szCs w:val="21"/>
        </w:rPr>
        <w:t xml:space="preserve">）：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   </w:t>
      </w:r>
      <w:r>
        <w:rPr>
          <w:rFonts w:hint="eastAsia" w:hAnsi="宋体"/>
          <w:b/>
          <w:color w:val="000000"/>
          <w:sz w:val="21"/>
          <w:szCs w:val="21"/>
        </w:rPr>
        <w:t xml:space="preserve">                               辅导员姓名：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 </w:t>
      </w:r>
      <w:r>
        <w:rPr>
          <w:rFonts w:hint="eastAsia" w:hAnsi="宋体"/>
          <w:b/>
          <w:color w:val="000000"/>
          <w:sz w:val="21"/>
          <w:szCs w:val="21"/>
        </w:rPr>
        <w:t xml:space="preserve">                   评分人姓名：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</w:t>
      </w:r>
    </w:p>
    <w:tbl>
      <w:tblPr>
        <w:tblStyle w:val="6"/>
        <w:tblW w:w="14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80"/>
        <w:gridCol w:w="9208"/>
        <w:gridCol w:w="72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指标要素</w:t>
            </w: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各项得分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得分小计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德25分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政治素质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思想品德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社会公德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职业道德</w:t>
            </w: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具有高度政治敏锐性和政治责任感，保持清醒的全局观和大局意识，组织性、纪律性强。（5分）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了解学生教育、管理的一般规律和有关规定，引导学生进步。（5分）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品德修养好，工作中以身作则，遵纪守法，为人师表。（5分）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高度重视学校布置的各项工作和任务，组织观念强，自觉服从工作需要。（5分）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爱岗敬业，具有强烈的服务意识，尊重学生，关心学生。（5分）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廉25分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廉洁从政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廉洁从教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廉洁从业</w:t>
            </w: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处理问题公正、客观。（5分）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评奖、评优、评先和推优入党等工作中坚持公开、公平、公正的原则。（5分）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不违规乱收费，费用开支公开合理。（5分）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廉洁自律。（10分）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能25分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基本能力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专业技能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创新能力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协调能力</w:t>
            </w: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具备较强的语言表达能力和文字写作能力，善于与学生沟通。（5分）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协调管理能力强，能处理好各种学生事务。（5分）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观察能力强，能及时发现和处理学生中存在的问题，快速妥当处理、解决突发事件。（5分）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学习能力强，能不断加强自身学习。（5分）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探索学生工作中的新思路、新方法；能积极组织班级学生开展有特色、有影响的活动。（5分）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勤25分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出勤率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组织纪律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责任心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积极性</w:t>
            </w: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坚持深入班级、宿舍，关心学生学习生活，与学生谈心，及时了解学生的思想状况；经常组织开展政治理论学习和各种主题教育活动等。（5分）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经常与学生家长联系。（5分）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按时参加学校、分院院系召开的各种会议、活动和培训。（5分）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不迟到、不早退、不旷工、不无故请假。（5分）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按要求及时完成学校和分院部署的各项任务，无延误现象。（5分）</w:t>
            </w:r>
          </w:p>
        </w:tc>
        <w:tc>
          <w:tcPr>
            <w:tcW w:w="720" w:type="dxa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326" w:type="dxa"/>
            <w:gridSpan w:val="3"/>
            <w:vAlign w:val="center"/>
          </w:tcPr>
          <w:p>
            <w:pPr>
              <w:widowControl/>
              <w:snapToGrid w:val="0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总分</w:t>
            </w:r>
          </w:p>
        </w:tc>
        <w:tc>
          <w:tcPr>
            <w:tcW w:w="1420" w:type="dxa"/>
            <w:gridSpan w:val="2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rPr>
          <w:rFonts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hint="eastAsia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天津交通职业学院辅导员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奖励绩效学生评价表</w:t>
      </w:r>
    </w:p>
    <w:p>
      <w:pPr>
        <w:snapToGrid w:val="0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20" w:lineRule="exact"/>
        <w:ind w:firstLine="840" w:firstLineChars="400"/>
        <w:rPr>
          <w:rFonts w:ascii="仿宋_GB2312" w:hAnsi="宋体" w:eastAsia="仿宋_GB2312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/>
          <w:sz w:val="21"/>
          <w:szCs w:val="21"/>
          <w:lang w:eastAsia="zh-CN"/>
        </w:rPr>
        <w:t>分</w:t>
      </w:r>
      <w:r>
        <w:rPr>
          <w:rFonts w:hint="eastAsia" w:hAnsi="宋体"/>
          <w:b/>
          <w:color w:val="000000"/>
          <w:sz w:val="21"/>
          <w:szCs w:val="21"/>
        </w:rPr>
        <w:t>院（部</w:t>
      </w:r>
      <w:r>
        <w:rPr>
          <w:rFonts w:hint="eastAsia" w:hAnsi="宋体"/>
          <w:b/>
          <w:color w:val="000000"/>
          <w:sz w:val="21"/>
          <w:szCs w:val="21"/>
          <w:lang w:eastAsia="zh-CN"/>
        </w:rPr>
        <w:t>门</w:t>
      </w:r>
      <w:r>
        <w:rPr>
          <w:rFonts w:hint="eastAsia" w:hAnsi="宋体"/>
          <w:b/>
          <w:color w:val="000000"/>
          <w:sz w:val="21"/>
          <w:szCs w:val="21"/>
        </w:rPr>
        <w:t xml:space="preserve">）：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hAnsi="宋体"/>
          <w:b/>
          <w:color w:val="000000"/>
          <w:sz w:val="21"/>
          <w:szCs w:val="21"/>
        </w:rPr>
        <w:t xml:space="preserve">                                                         辅导员姓名：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</w:t>
      </w:r>
    </w:p>
    <w:tbl>
      <w:tblPr>
        <w:tblStyle w:val="6"/>
        <w:tblpPr w:leftFromText="180" w:rightFromText="180" w:vertAnchor="text" w:horzAnchor="page" w:tblpX="1245" w:tblpY="59"/>
        <w:tblOverlap w:val="never"/>
        <w:tblW w:w="14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20"/>
        <w:gridCol w:w="6435"/>
        <w:gridCol w:w="1350"/>
        <w:gridCol w:w="1335"/>
        <w:gridCol w:w="1350"/>
        <w:gridCol w:w="1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18" w:type="dxa"/>
            <w:vMerge w:val="restart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64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 价 指 标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3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4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（9-10）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（7.5-9）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基本称职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（6-7.5）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不称职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（1-6）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你的辅导员在熟悉学生个人和家庭情况，掌握学生思想动态，有针对性的帮助学生处理好学习、择业、交友、生活等问题做得如何？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党团和班级建设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你的辅导员在培养学生骨干、推优入党、学生党支部及班团组织建设工作方面做得如何？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学业指导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你的辅导员在了解学生专业学习情况，开展专业教育、培养学生学习兴趣、组织开展学风建设方面做得如何？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日常事务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你的辅导员在做好新生教育、军训管理、毕业教育，有效开展奖、助学金评选工作，对日常事务提供咨询并指导开展宿舍文化建设等方面做得如何？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教育与咨询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你的辅导员在开展心理健康教育、组织开展心理筛查与疏导、引导学生养成良好的心理品质方面做得如何？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网络思想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政治教育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你的辅导员在运用网络平台对学生进行教育、文化宣传、解决群体性问题、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与学生的交流互动方面做得如何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危机事件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应对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你的辅导员在控制危机事件局面、及时了解信息以及开展安全教育等方面做得如何？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职业规划与就业指导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你的辅导员针对学生的职业生涯规划、就业指导、就业创业信息服务等方面做得如何？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理论和实践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你的辅导员在掌握与工作相关的知识与技能，开展工作的实际效果如何？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解决学生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实际困难</w:t>
            </w:r>
          </w:p>
        </w:tc>
        <w:tc>
          <w:tcPr>
            <w:tcW w:w="643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你的辅导员在深入课堂、学生宿舍与学生沟通交流和与学生家长联系方面做得如何？在处理学生困难和问题方面做得如何？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531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ind w:firstLine="3200" w:firstLineChars="1000"/>
        <w:rPr>
          <w:rFonts w:hAnsi="宋体"/>
          <w:b/>
          <w:color w:val="000000"/>
          <w:sz w:val="21"/>
          <w:szCs w:val="21"/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天津交通职业学院辅导员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奖励绩效职业能力加分统计表</w:t>
      </w:r>
    </w:p>
    <w:p>
      <w:pPr>
        <w:pStyle w:val="2"/>
        <w:spacing w:line="320" w:lineRule="exact"/>
        <w:ind w:firstLine="840" w:firstLineChars="400"/>
        <w:rPr>
          <w:rFonts w:hAnsi="宋体"/>
          <w:b/>
          <w:color w:val="000000"/>
          <w:sz w:val="21"/>
          <w:szCs w:val="21"/>
          <w:u w:val="single"/>
        </w:rPr>
      </w:pPr>
      <w:r>
        <w:rPr>
          <w:rFonts w:hint="eastAsia" w:hAnsi="宋体"/>
          <w:b/>
          <w:color w:val="000000"/>
          <w:sz w:val="21"/>
          <w:szCs w:val="21"/>
        </w:rPr>
        <w:t xml:space="preserve">院（部）：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hAnsi="宋体"/>
          <w:b/>
          <w:color w:val="000000"/>
          <w:sz w:val="21"/>
          <w:szCs w:val="21"/>
        </w:rPr>
        <w:t xml:space="preserve">                       辅导员姓名： 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hAnsi="宋体"/>
          <w:b/>
          <w:color w:val="000000"/>
          <w:sz w:val="21"/>
          <w:szCs w:val="21"/>
        </w:rPr>
        <w:t xml:space="preserve">               学生工作部:</w:t>
      </w:r>
      <w:r>
        <w:rPr>
          <w:rFonts w:hint="eastAsia" w:hAnsi="宋体"/>
          <w:b/>
          <w:color w:val="000000"/>
          <w:sz w:val="21"/>
          <w:szCs w:val="21"/>
          <w:u w:val="single"/>
        </w:rPr>
        <w:t xml:space="preserve">                     </w:t>
      </w:r>
    </w:p>
    <w:tbl>
      <w:tblPr>
        <w:tblStyle w:val="6"/>
        <w:tblpPr w:leftFromText="180" w:rightFromText="180" w:vertAnchor="text" w:horzAnchor="page" w:tblpX="759" w:tblpY="170"/>
        <w:tblOverlap w:val="never"/>
        <w:tblW w:w="15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55"/>
        <w:gridCol w:w="1350"/>
        <w:gridCol w:w="3315"/>
        <w:gridCol w:w="6970"/>
        <w:gridCol w:w="868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5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指  标 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6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 分 标 准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ZJ、职业能力加分项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ZJ1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职业大赛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参加辅导员各类大赛</w:t>
            </w:r>
          </w:p>
        </w:tc>
        <w:tc>
          <w:tcPr>
            <w:tcW w:w="697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校级：一等奖加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分、二等奖加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分、三等奖加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级：一等奖加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分、二等奖加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分、三等奖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分、优秀奖加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分；国家级：一等奖加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分、二等奖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分、三等奖加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分、优秀奖加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widowControl/>
              <w:snapToGrid w:val="0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以上不累加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ZJ2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学术发表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发表论文</w:t>
            </w:r>
          </w:p>
        </w:tc>
        <w:tc>
          <w:tcPr>
            <w:tcW w:w="697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核心刊物（第一或独立作者）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分/篇；一般刊物（第一或独立作者）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分/篇；论文必须是本岗相关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ZJ3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科研课题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科研课题</w:t>
            </w:r>
          </w:p>
        </w:tc>
        <w:tc>
          <w:tcPr>
            <w:tcW w:w="697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国家级主持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参与0.5分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/次；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级主持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参与0.5分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/次；委局级(含省市级学会)主持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参与0.25分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/次；院级（含区级）主持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分/次；课题必须已经结题，且必须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是与辅导员本岗相关的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课题。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ZJ4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承担相关项目</w:t>
            </w:r>
          </w:p>
        </w:tc>
        <w:tc>
          <w:tcPr>
            <w:tcW w:w="697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国家级主持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参与0.5分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/次；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级主持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参与0.5分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/次；委局级(含省市级学会)主持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参与0.25分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/次；院级（含区级）主持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必须已经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结项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，且必须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是与辅导员本岗相关的项目；指导学生项目获奖必须为第一指导教师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ZJ5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精彩一课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参加辅导员“精彩一课”评选</w:t>
            </w:r>
          </w:p>
        </w:tc>
        <w:tc>
          <w:tcPr>
            <w:tcW w:w="6970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获校级一等奖加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分、二等奖加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分、三等奖加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分；获得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级一等奖加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分、二等奖加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分、三等奖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分、优秀奖加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以上不累加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ZJ6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评优评先</w:t>
            </w:r>
          </w:p>
        </w:tc>
        <w:tc>
          <w:tcPr>
            <w:tcW w:w="33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获评优秀辅导员、优秀教育工作者、优秀思政工作者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所带班级获得集体荣誉。</w:t>
            </w:r>
          </w:p>
        </w:tc>
        <w:tc>
          <w:tcPr>
            <w:tcW w:w="6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国家级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分/次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级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  委局级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分/次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615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    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封顶10分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9</w:t>
    </w:r>
    <w:r>
      <w:rPr>
        <w:lang w:val="zh-CN"/>
      </w:rPr>
      <w:fldChar w:fldCharType="end"/>
    </w:r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FF"/>
    <w:rsid w:val="00010422"/>
    <w:rsid w:val="000151DD"/>
    <w:rsid w:val="00016A9E"/>
    <w:rsid w:val="00046581"/>
    <w:rsid w:val="000848BF"/>
    <w:rsid w:val="000D54DA"/>
    <w:rsid w:val="000E2893"/>
    <w:rsid w:val="000E4F7A"/>
    <w:rsid w:val="000E5788"/>
    <w:rsid w:val="001067C6"/>
    <w:rsid w:val="00184884"/>
    <w:rsid w:val="0018632B"/>
    <w:rsid w:val="001C009D"/>
    <w:rsid w:val="001C1FC8"/>
    <w:rsid w:val="002170C8"/>
    <w:rsid w:val="00250788"/>
    <w:rsid w:val="00262BA9"/>
    <w:rsid w:val="002C4922"/>
    <w:rsid w:val="00304B47"/>
    <w:rsid w:val="00321E7E"/>
    <w:rsid w:val="00344274"/>
    <w:rsid w:val="00361C3F"/>
    <w:rsid w:val="003640EF"/>
    <w:rsid w:val="00375A82"/>
    <w:rsid w:val="00391B2F"/>
    <w:rsid w:val="003B7F84"/>
    <w:rsid w:val="003C399D"/>
    <w:rsid w:val="003D7715"/>
    <w:rsid w:val="003E554B"/>
    <w:rsid w:val="00411870"/>
    <w:rsid w:val="0041208E"/>
    <w:rsid w:val="00436DD5"/>
    <w:rsid w:val="004473C2"/>
    <w:rsid w:val="00457825"/>
    <w:rsid w:val="00493818"/>
    <w:rsid w:val="004B11AB"/>
    <w:rsid w:val="004F5DFF"/>
    <w:rsid w:val="0052220C"/>
    <w:rsid w:val="005420B4"/>
    <w:rsid w:val="00550017"/>
    <w:rsid w:val="005503FF"/>
    <w:rsid w:val="00556AA2"/>
    <w:rsid w:val="005708F4"/>
    <w:rsid w:val="0058152B"/>
    <w:rsid w:val="00590AFB"/>
    <w:rsid w:val="00592F56"/>
    <w:rsid w:val="005A315D"/>
    <w:rsid w:val="005A36D6"/>
    <w:rsid w:val="005A5589"/>
    <w:rsid w:val="0067785D"/>
    <w:rsid w:val="00685C03"/>
    <w:rsid w:val="00690D00"/>
    <w:rsid w:val="00697B6E"/>
    <w:rsid w:val="0070128E"/>
    <w:rsid w:val="007201EE"/>
    <w:rsid w:val="00731327"/>
    <w:rsid w:val="007463B6"/>
    <w:rsid w:val="007564B7"/>
    <w:rsid w:val="007717AF"/>
    <w:rsid w:val="007C4DE4"/>
    <w:rsid w:val="007D54FD"/>
    <w:rsid w:val="007F6267"/>
    <w:rsid w:val="00801551"/>
    <w:rsid w:val="00825642"/>
    <w:rsid w:val="008A46BF"/>
    <w:rsid w:val="008B56E8"/>
    <w:rsid w:val="008C165E"/>
    <w:rsid w:val="008D42D6"/>
    <w:rsid w:val="00907D15"/>
    <w:rsid w:val="0091724E"/>
    <w:rsid w:val="00926B2A"/>
    <w:rsid w:val="00950C7A"/>
    <w:rsid w:val="00955B89"/>
    <w:rsid w:val="00972830"/>
    <w:rsid w:val="009B2A3E"/>
    <w:rsid w:val="009C107F"/>
    <w:rsid w:val="009C211C"/>
    <w:rsid w:val="009E32DC"/>
    <w:rsid w:val="009E490F"/>
    <w:rsid w:val="00A44902"/>
    <w:rsid w:val="00A50A35"/>
    <w:rsid w:val="00A617AF"/>
    <w:rsid w:val="00A61A1B"/>
    <w:rsid w:val="00AA601F"/>
    <w:rsid w:val="00B27EA6"/>
    <w:rsid w:val="00B67EC0"/>
    <w:rsid w:val="00B73E8F"/>
    <w:rsid w:val="00B87338"/>
    <w:rsid w:val="00BD2B6C"/>
    <w:rsid w:val="00BD78AC"/>
    <w:rsid w:val="00C122A5"/>
    <w:rsid w:val="00C419DE"/>
    <w:rsid w:val="00C71931"/>
    <w:rsid w:val="00C8420F"/>
    <w:rsid w:val="00C94F84"/>
    <w:rsid w:val="00CE124F"/>
    <w:rsid w:val="00CF0A52"/>
    <w:rsid w:val="00CF26EF"/>
    <w:rsid w:val="00CF3DDD"/>
    <w:rsid w:val="00D01434"/>
    <w:rsid w:val="00D34409"/>
    <w:rsid w:val="00D5190F"/>
    <w:rsid w:val="00D8178D"/>
    <w:rsid w:val="00D939DC"/>
    <w:rsid w:val="00E002F7"/>
    <w:rsid w:val="00E16696"/>
    <w:rsid w:val="00E171E9"/>
    <w:rsid w:val="00E279A1"/>
    <w:rsid w:val="00E71D37"/>
    <w:rsid w:val="00E82787"/>
    <w:rsid w:val="00E932C0"/>
    <w:rsid w:val="00EA3F62"/>
    <w:rsid w:val="00ED457E"/>
    <w:rsid w:val="00EE44E6"/>
    <w:rsid w:val="00EE72F6"/>
    <w:rsid w:val="00F0661E"/>
    <w:rsid w:val="00F46507"/>
    <w:rsid w:val="00F478C9"/>
    <w:rsid w:val="00F672F6"/>
    <w:rsid w:val="00F71733"/>
    <w:rsid w:val="00F76DB4"/>
    <w:rsid w:val="00F92156"/>
    <w:rsid w:val="00FA5A2E"/>
    <w:rsid w:val="00FD0FDA"/>
    <w:rsid w:val="04DE48ED"/>
    <w:rsid w:val="0A750E71"/>
    <w:rsid w:val="0D350814"/>
    <w:rsid w:val="0F8779A8"/>
    <w:rsid w:val="18B75D60"/>
    <w:rsid w:val="19ED415E"/>
    <w:rsid w:val="1AD11BCB"/>
    <w:rsid w:val="1BDC5678"/>
    <w:rsid w:val="37F75173"/>
    <w:rsid w:val="384B3F8E"/>
    <w:rsid w:val="40CF0D3C"/>
    <w:rsid w:val="422B787E"/>
    <w:rsid w:val="46676F24"/>
    <w:rsid w:val="4F0607F9"/>
    <w:rsid w:val="4F215B3C"/>
    <w:rsid w:val="527D45FF"/>
    <w:rsid w:val="59135039"/>
    <w:rsid w:val="63B14FC6"/>
    <w:rsid w:val="67111F26"/>
    <w:rsid w:val="69996A53"/>
    <w:rsid w:val="6B362BC2"/>
    <w:rsid w:val="725A2D33"/>
    <w:rsid w:val="733373FD"/>
    <w:rsid w:val="74750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2">
    <w:name w:val="内容"/>
    <w:basedOn w:val="1"/>
    <w:link w:val="13"/>
    <w:qFormat/>
    <w:uiPriority w:val="0"/>
    <w:pPr>
      <w:spacing w:line="360" w:lineRule="auto"/>
      <w:ind w:firstLine="200" w:firstLineChars="200"/>
    </w:pPr>
    <w:rPr>
      <w:rFonts w:ascii="Times New Roman" w:hAnsi="Times New Roman"/>
      <w:color w:val="000000"/>
      <w:kern w:val="1"/>
      <w:szCs w:val="21"/>
    </w:rPr>
  </w:style>
  <w:style w:type="character" w:customStyle="1" w:styleId="13">
    <w:name w:val="内容 Char"/>
    <w:link w:val="12"/>
    <w:qFormat/>
    <w:uiPriority w:val="0"/>
    <w:rPr>
      <w:rFonts w:ascii="Times New Roman" w:hAnsi="Times New Roman"/>
      <w:color w:val="000000"/>
      <w:kern w:val="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   201308</Company>
  <Pages>9</Pages>
  <Words>778</Words>
  <Characters>4435</Characters>
  <Lines>36</Lines>
  <Paragraphs>10</Paragraphs>
  <TotalTime>0</TotalTime>
  <ScaleCrop>false</ScaleCrop>
  <LinksUpToDate>false</LinksUpToDate>
  <CharactersWithSpaces>5203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2018-09-26T03:12:00Z</dcterms:created>
  <dc:creator>Quantus</dc:creator>
  <cp:lastModifiedBy>张娟</cp:lastModifiedBy>
  <dcterms:modified xsi:type="dcterms:W3CDTF">2021-11-29T04:25:05Z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FE57D06BA86A4E6D8EE6B819A74367F1</vt:lpwstr>
  </property>
</Properties>
</file>